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3A" w:rsidRPr="0027603A" w:rsidRDefault="0027603A">
      <w:pPr>
        <w:rPr>
          <w:b/>
        </w:rPr>
      </w:pPr>
      <w:r w:rsidRPr="0027603A">
        <w:rPr>
          <w:b/>
        </w:rPr>
        <w:t>COM PLANNING APPLICATIONS RECEIVED: 01 December 2018 – 19 February 2019</w:t>
      </w:r>
      <w:bookmarkStart w:id="0" w:name="_GoBack"/>
      <w:bookmarkEnd w:id="0"/>
    </w:p>
    <w:tbl>
      <w:tblPr>
        <w:tblW w:w="138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051"/>
        <w:gridCol w:w="638"/>
        <w:gridCol w:w="638"/>
        <w:gridCol w:w="2818"/>
        <w:gridCol w:w="6085"/>
        <w:gridCol w:w="1234"/>
      </w:tblGrid>
      <w:tr w:rsidR="00253905" w:rsidRPr="00253905" w:rsidTr="0025390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47526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Application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47526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Received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47526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47526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Proposal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47526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242B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Status</w:t>
            </w:r>
          </w:p>
        </w:tc>
      </w:tr>
      <w:tr w:rsidR="00253905" w:rsidRPr="00253905" w:rsidTr="00253905">
        <w:tc>
          <w:tcPr>
            <w:tcW w:w="0" w:type="auto"/>
            <w:shd w:val="clear" w:color="auto" w:fill="DBDFE8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5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TP-2019-96</w:t>
              </w:r>
            </w:hyperlink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14/02/2019</w:t>
            </w:r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88 George Street East Melbourne 3002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demolition of external steps, retaining walls and boundary fencing to an existing dwelling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Fee Outstanding</w:t>
            </w:r>
          </w:p>
        </w:tc>
      </w:tr>
      <w:tr w:rsidR="00253905" w:rsidRPr="00253905" w:rsidTr="00253905"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6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TP-2019-97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14/02/2019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103 Hotham Street East Melbourne 3002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Partial demolition and construction of a double storey rear extension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Fee Outstanding</w:t>
            </w:r>
          </w:p>
        </w:tc>
      </w:tr>
      <w:tr w:rsidR="00253905" w:rsidRPr="00253905" w:rsidTr="00253905">
        <w:tc>
          <w:tcPr>
            <w:tcW w:w="0" w:type="auto"/>
            <w:shd w:val="clear" w:color="auto" w:fill="DBDFE8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7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TP-2019-89</w:t>
              </w:r>
            </w:hyperlink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12/02/2019</w:t>
            </w:r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262-304 Albert Street East Melbourne 3002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Subdivision of 248 lots. PS545348S/S2,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Further Information Requested</w:t>
            </w:r>
          </w:p>
        </w:tc>
      </w:tr>
      <w:tr w:rsidR="00253905" w:rsidRPr="00253905" w:rsidTr="00253905"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8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TP-2019-79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6/02/2019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Flat 1, 52 Grey Street East Melbourne 3002</w:t>
            </w: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50-54 Grey Street East Melbourne 3002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Alterations to an existing building with associated demolition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Under Assessment</w:t>
            </w:r>
          </w:p>
        </w:tc>
      </w:tr>
      <w:tr w:rsidR="00253905" w:rsidRPr="00253905" w:rsidTr="00253905">
        <w:tc>
          <w:tcPr>
            <w:tcW w:w="0" w:type="auto"/>
            <w:shd w:val="clear" w:color="auto" w:fill="DBDFE8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9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TP-2019-62</w:t>
              </w:r>
            </w:hyperlink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29/01/2019</w:t>
            </w:r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148 Hotham Street East Melbourne 3002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Extension of use for a museum and ancillary education centre to include 148 Hotham Street, reduction of statutory car parking and bicycle parking requirements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Further Information Requested</w:t>
            </w:r>
          </w:p>
        </w:tc>
      </w:tr>
      <w:tr w:rsidR="00253905" w:rsidRPr="00253905" w:rsidTr="00253905"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0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TP-2017-841/A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22/01/2019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43 Albert Street East Melbourne 3002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Partial demolition and external alterations and additions to the existing dwelling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Application on hold</w:t>
            </w:r>
          </w:p>
        </w:tc>
      </w:tr>
      <w:tr w:rsidR="00253905" w:rsidRPr="00253905" w:rsidTr="00253905">
        <w:tc>
          <w:tcPr>
            <w:tcW w:w="0" w:type="auto"/>
            <w:shd w:val="clear" w:color="auto" w:fill="DBDFE8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1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TPM-2019-3</w:t>
              </w:r>
            </w:hyperlink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8/01/2019</w:t>
            </w:r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Yarra Park </w:t>
            </w:r>
            <w:proofErr w:type="spellStart"/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Brunton</w:t>
            </w:r>
            <w:proofErr w:type="spellEnd"/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Avenue East Melbourne 3002</w:t>
            </w: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Punt Road Oval Yarra Park Punt Road East Melbourne 3002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APPLICATION FOR PLANNING PERMIT PA1800465, PUNT ROAD OVAL, BRUNTON AVENUE RICHMOND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Under Assessment</w:t>
            </w:r>
          </w:p>
        </w:tc>
      </w:tr>
      <w:tr w:rsidR="00253905" w:rsidRPr="00253905" w:rsidTr="00253905"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2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TP-2019-7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3/01/2019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East Melbourne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 develop land for two internally illuminated promotion signs in accordance with Clause 52.05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File Allocated</w:t>
            </w:r>
          </w:p>
        </w:tc>
      </w:tr>
      <w:tr w:rsidR="00253905" w:rsidRPr="00253905" w:rsidTr="00253905">
        <w:tc>
          <w:tcPr>
            <w:tcW w:w="0" w:type="auto"/>
            <w:shd w:val="clear" w:color="auto" w:fill="DBDFE8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3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TP-2018-1175</w:t>
              </w:r>
            </w:hyperlink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24/12/2018</w:t>
            </w:r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86-88 Jolimont Street East Melbourne 3002</w:t>
            </w: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90-94 Jolimont Street East Melbourne 3002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Development of a multi-storey office building including basement levels, a cafe and associated works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Further Information Requested</w:t>
            </w:r>
          </w:p>
        </w:tc>
      </w:tr>
      <w:tr w:rsidR="00253905" w:rsidRPr="00253905" w:rsidTr="00253905"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4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TP-2018-1157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20/12/2018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28 Berry Street East Melbourne 3002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Partial demolition and construction of works associated with an additional dwelling (dependent persons unit) on a lot within the Heritage Overlay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Advertising</w:t>
            </w:r>
          </w:p>
        </w:tc>
      </w:tr>
      <w:tr w:rsidR="00253905" w:rsidRPr="00253905" w:rsidTr="00253905">
        <w:trPr>
          <w:gridAfter w:val="1"/>
        </w:trPr>
        <w:tc>
          <w:tcPr>
            <w:tcW w:w="0" w:type="auto"/>
            <w:shd w:val="clear" w:color="auto" w:fill="DBDFE8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5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TP-2018-1158</w:t>
              </w:r>
            </w:hyperlink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20/12/2018</w:t>
            </w:r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58 Grey Street East Melbourne 3002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Partial </w:t>
            </w:r>
            <w:proofErr w:type="spellStart"/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demoliton</w:t>
            </w:r>
            <w:proofErr w:type="spellEnd"/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alterations and additions to the existing dwelling including a ground floor extension, extended first floor deck and new staircase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Further Information Requested</w:t>
            </w:r>
          </w:p>
        </w:tc>
      </w:tr>
      <w:tr w:rsidR="00253905" w:rsidRPr="00253905" w:rsidTr="00253905">
        <w:trPr>
          <w:gridAfter w:val="1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6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TP-2018-1148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19/12/2018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157 Hotham Street East Melbourne 3002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Partial demolition and construction of alterations and additions (relocation of existing timber joinery facade) to an existing dwelling in a Heritage Overlay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Further Information Requested</w:t>
            </w:r>
          </w:p>
        </w:tc>
      </w:tr>
      <w:tr w:rsidR="00253905" w:rsidRPr="00253905" w:rsidTr="00253905">
        <w:trPr>
          <w:gridAfter w:val="1"/>
        </w:trPr>
        <w:tc>
          <w:tcPr>
            <w:tcW w:w="0" w:type="auto"/>
            <w:shd w:val="clear" w:color="auto" w:fill="DBDFE8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7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TP-2018-1137</w:t>
              </w:r>
            </w:hyperlink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18/12/2018</w:t>
            </w:r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298-336 Victoria Parade East Melbourne </w:t>
            </w: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3002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Renewal of existing internally illuminated and non-illuminated business identification signage and buildings and works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Permit Issued</w:t>
            </w:r>
          </w:p>
        </w:tc>
      </w:tr>
      <w:tr w:rsidR="00253905" w:rsidRPr="00253905" w:rsidTr="00253905">
        <w:trPr>
          <w:gridAfter w:val="1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8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TP-2018-1133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17/12/2018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Treasury Reserve 1-3 Treasury Place East Melbourne 3002</w:t>
            </w: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  <w:t>23 St Andrews Place East Melbourne 3002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Replacement of existing external entry door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 Permit Required</w:t>
            </w:r>
          </w:p>
        </w:tc>
      </w:tr>
      <w:tr w:rsidR="00253905" w:rsidRPr="00253905" w:rsidTr="00253905">
        <w:trPr>
          <w:gridAfter w:val="1"/>
        </w:trPr>
        <w:tc>
          <w:tcPr>
            <w:tcW w:w="0" w:type="auto"/>
            <w:shd w:val="clear" w:color="auto" w:fill="DBDFE8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19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TP-2018-1017</w:t>
              </w:r>
            </w:hyperlink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30/11/2018</w:t>
            </w:r>
          </w:p>
        </w:tc>
        <w:tc>
          <w:tcPr>
            <w:tcW w:w="0" w:type="auto"/>
            <w:gridSpan w:val="2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104-106 Hotham Street East Melbourne 3002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Partial demolition and construction of alterations and additions to an existing dwelling in a Heritage Overlay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Advertising</w:t>
            </w:r>
          </w:p>
        </w:tc>
      </w:tr>
      <w:tr w:rsidR="00253905" w:rsidRPr="00253905" w:rsidTr="00253905">
        <w:trPr>
          <w:gridAfter w:val="1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hyperlink r:id="rId20" w:history="1">
              <w:r w:rsidRPr="00253905">
                <w:rPr>
                  <w:rFonts w:ascii="Arial" w:eastAsia="Times New Roman" w:hAnsi="Arial" w:cs="Arial"/>
                  <w:color w:val="663399"/>
                  <w:sz w:val="18"/>
                  <w:szCs w:val="18"/>
                  <w:u w:val="single"/>
                  <w:lang w:eastAsia="en-AU"/>
                </w:rPr>
                <w:t>TP-2018-1020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30/11/2018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44-58 Clarendon Street East Melbourne 3002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Proposed amendments to exterior facade, (upper ground level) common area and introducing new windows to create interior space under existing </w:t>
            </w:r>
            <w:proofErr w:type="spellStart"/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undercroft</w:t>
            </w:r>
            <w:proofErr w:type="spellEnd"/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. Proposal to refurbish existing windows and balustrade to Clarendon Street to match existing. General </w:t>
            </w:r>
            <w:proofErr w:type="spellStart"/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rerub</w:t>
            </w:r>
            <w:proofErr w:type="spellEnd"/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of finishes, pool coping and exterior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53905" w:rsidRPr="00253905" w:rsidRDefault="00253905" w:rsidP="002539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539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Further Information Requested</w:t>
            </w:r>
          </w:p>
        </w:tc>
      </w:tr>
    </w:tbl>
    <w:p w:rsidR="00253905" w:rsidRDefault="00253905"/>
    <w:sectPr w:rsidR="00253905" w:rsidSect="002760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5"/>
    <w:rsid w:val="00253905"/>
    <w:rsid w:val="0027603A"/>
    <w:rsid w:val="00B328F5"/>
    <w:rsid w:val="00B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bourne.vic.gov.au/building-and-development/property-information/planning-building-registers/Pages/town-planning-permits-register-search-results.aspx?appid=308886" TargetMode="External"/><Relationship Id="rId13" Type="http://schemas.openxmlformats.org/officeDocument/2006/relationships/hyperlink" Target="https://www.melbourne.vic.gov.au/building-and-development/property-information/planning-building-registers/Pages/town-planning-permits-register-search-results.aspx?appid=310986" TargetMode="External"/><Relationship Id="rId18" Type="http://schemas.openxmlformats.org/officeDocument/2006/relationships/hyperlink" Target="https://www.melbourne.vic.gov.au/building-and-development/property-information/planning-building-registers/Pages/town-planning-permits-register-search-results.aspx?appid=3104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elbourne.vic.gov.au/building-and-development/property-information/planning-building-registers/Pages/town-planning-permits-register-search-results.aspx?appid=310497" TargetMode="External"/><Relationship Id="rId12" Type="http://schemas.openxmlformats.org/officeDocument/2006/relationships/hyperlink" Target="https://www.melbourne.vic.gov.au/building-and-development/property-information/planning-building-registers/Pages/town-planning-permits-register-search-results.aspx?appid=310983" TargetMode="External"/><Relationship Id="rId17" Type="http://schemas.openxmlformats.org/officeDocument/2006/relationships/hyperlink" Target="https://www.melbourne.vic.gov.au/building-and-development/property-information/planning-building-registers/Pages/town-planning-permits-register-search-results.aspx?appid=3103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elbourne.vic.gov.au/building-and-development/property-information/planning-building-registers/Pages/town-planning-permits-register-search-results.aspx?appid=310543" TargetMode="External"/><Relationship Id="rId20" Type="http://schemas.openxmlformats.org/officeDocument/2006/relationships/hyperlink" Target="https://www.melbourne.vic.gov.au/building-and-development/property-information/planning-building-registers/Pages/town-planning-permits-register-search-results.aspx?appid=30853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lbourne.vic.gov.au/building-and-development/property-information/planning-building-registers/Pages/town-planning-permits-register-search-results.aspx?appid=310883" TargetMode="External"/><Relationship Id="rId11" Type="http://schemas.openxmlformats.org/officeDocument/2006/relationships/hyperlink" Target="https://www.melbourne.vic.gov.au/building-and-development/property-information/planning-building-registers/Pages/town-planning-permits-register-search-results.aspx?appid=311225" TargetMode="External"/><Relationship Id="rId5" Type="http://schemas.openxmlformats.org/officeDocument/2006/relationships/hyperlink" Target="https://www.melbourne.vic.gov.au/building-and-development/property-information/planning-building-registers/Pages/town-planning-permits-register-search-results.aspx?appid=310872" TargetMode="External"/><Relationship Id="rId15" Type="http://schemas.openxmlformats.org/officeDocument/2006/relationships/hyperlink" Target="https://www.melbourne.vic.gov.au/building-and-development/property-information/planning-building-registers/Pages/town-planning-permits-register-search-results.aspx?appid=310590" TargetMode="External"/><Relationship Id="rId10" Type="http://schemas.openxmlformats.org/officeDocument/2006/relationships/hyperlink" Target="https://www.melbourne.vic.gov.au/building-and-development/property-information/planning-building-registers/Pages/town-planning-permits-register-search-results.aspx?appid=312167" TargetMode="External"/><Relationship Id="rId19" Type="http://schemas.openxmlformats.org/officeDocument/2006/relationships/hyperlink" Target="https://www.melbourne.vic.gov.au/building-and-development/property-information/planning-building-registers/Pages/town-planning-permits-register-search-results.aspx?appid=308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lbourne.vic.gov.au/building-and-development/property-information/planning-building-registers/Pages/town-planning-permits-register-search-results.aspx?appid=312611" TargetMode="External"/><Relationship Id="rId14" Type="http://schemas.openxmlformats.org/officeDocument/2006/relationships/hyperlink" Target="https://www.melbourne.vic.gov.au/building-and-development/property-information/planning-building-registers/Pages/town-planning-permits-register-search-results.aspx?appid=3105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Committee</dc:creator>
  <cp:lastModifiedBy>Committee</cp:lastModifiedBy>
  <cp:revision>2</cp:revision>
  <dcterms:created xsi:type="dcterms:W3CDTF">2019-02-19T04:25:00Z</dcterms:created>
  <dcterms:modified xsi:type="dcterms:W3CDTF">2019-02-19T04:25:00Z</dcterms:modified>
</cp:coreProperties>
</file>